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č.1 k Příkazní smlouvě č. </w:t>
      </w:r>
      <w:r>
        <w:rPr>
          <w:highlight w:val="yellow"/>
        </w:rPr>
        <w:t>………….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2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stavby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 stavby, zejména s obsahem smluv, správních rozhodnutí a vyjádření a stanovisek dotčených orgánů;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stavby včetně vypracování návrhů na řešení vzniklých problémů;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stavby v tištěné podobě a v elektronické podobě a jejich předání příkazci.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stavby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Zabezpečení, organizace a účast na veškerých jednáních s dotčenými orgány a organizacemi, která souvisí s prováděním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stavba provádí, koordinace požadavků autorského dozoru a požadavků zhotovitele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a ostatních účastníků výstavby při dodržování podmínek stavebního povolení po celou dobu provádění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Vedení potřebné evidence o čerpání rozpočtu (ve finanční i věcné skladbě) a v souvislosti s tím vypracování návrhů na zpracování doplňků rozpočtu zhotovitelem stavby, jejich předkládání se svým vyjádřením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stavby a podávání návrhů na uplatnění majetkových sankcí vůči zhotoviteli stavby včetně písemného zdůvodnění;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stavby) ze smlouvy o dílo se zhotovitelem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stavby uložených kontrolními orgány či jinými oprávněnými orgány;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autorského dozoru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stavby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stavby, které budou v dalším postupu prací zakryty nebo znepřístupněny;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Koordinace stavby s dalšími pracemi v prostoru staveniště (např.přeložky sítí, stavby, stavební objekty či práce třetích osob, apod.);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Hlášení archeologických nálezů;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stavby na záměny materiálů, zabezpečení stanoviska autorského dozoru a předkládání návrhů na rozhodnutí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na stavbě a pořádku na staveništi;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stavby při provádění opatření na odvrácení nebo omezení škod při ohrožení stavby živelnými událostmi;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stavby požadovaných platnou legislativou (vč.dokladů o zadání víceprací, apod.)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 stavby, kontrola všech dokladů vyžadovaných smlouvou o dílo se zhotovitelem stavby po zhotoviteli stavby pro předání a převzetí dokončené stavby; 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 stavby, účast a zastupování příkazce na předání a převzetí dokončené stavby včetně pořízení zápisu o předání a převzetí dokončené stavby, vymezení všech vad a nedodělků včetně stanovení termínů jejich odstranění;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stavby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stavby;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stavby;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stavby a zabezpečení jejího případného doplnění a její archivace;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převzetí všech dokladů geodetického zaměření a jejich archivace;</w:t>
      </w:r>
    </w:p>
    <w:p>
      <w:pPr>
        <w:pStyle w:val="Normal"/>
        <w:ind w:left="1428" w:hanging="0"/>
        <w:jc w:val="both"/>
        <w:rPr>
          <w:sz w:val="24"/>
          <w:szCs w:val="24"/>
        </w:rPr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  <w:t>Oprava TZ 731</w:t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2" name="Rámec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  <w:t>Oprava TZ 731</w:t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054b0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6054b0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6054b0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6054b0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6054b0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6054b0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  <w:lang w:val="zxx" w:eastAsia="zxx" w:bidi="zxx"/>
    </w:rPr>
  </w:style>
  <w:style w:type="paragraph" w:styleId="Seznam2">
    <w:name w:val="List Bullet 3"/>
    <w:basedOn w:val="Normal"/>
    <w:rsid w:val="006054b0"/>
    <w:pPr>
      <w:ind w:left="566" w:hanging="283"/>
    </w:pPr>
    <w:rPr/>
  </w:style>
  <w:style w:type="paragraph" w:styleId="Nzev">
    <w:name w:val="Title"/>
    <w:basedOn w:val="Normal"/>
    <w:qFormat/>
    <w:rsid w:val="006054b0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6054b0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6054b0"/>
    <w:pPr/>
    <w:rPr/>
  </w:style>
  <w:style w:type="paragraph" w:styleId="Annotationtext">
    <w:name w:val="annotation text"/>
    <w:basedOn w:val="Normal"/>
    <w:link w:val="TextkomenteChar"/>
    <w:semiHidden/>
    <w:qFormat/>
    <w:rsid w:val="006054b0"/>
    <w:pPr/>
    <w:rPr/>
  </w:style>
  <w:style w:type="paragraph" w:styleId="Odrky" w:customStyle="1">
    <w:name w:val="odr‡ěky"/>
    <w:basedOn w:val="Normal"/>
    <w:qFormat/>
    <w:rsid w:val="006054b0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8</TotalTime>
  <Application>LibreOffice/7.2.7.2$Windows_X86_64 LibreOffice_project/8d71d29d553c0f7dcbfa38fbfda25ee34cce99a2</Application>
  <AppVersion>15.0000</AppVersion>
  <Pages>3</Pages>
  <Words>671</Words>
  <Characters>4520</Characters>
  <CharactersWithSpaces>5121</CharactersWithSpaces>
  <Paragraphs>37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2018-10-09T06:13:00Z</dcterms:created>
  <dc:creator>ing. Jaroslav Dufek</dc:creator>
  <dc:description/>
  <dc:language>cs-CZ</dc:language>
  <cp:lastModifiedBy/>
  <cp:lastPrinted>2024-01-11T09:31:26Z</cp:lastPrinted>
  <dcterms:modified xsi:type="dcterms:W3CDTF">2024-01-11T09:31:51Z</dcterms:modified>
  <cp:revision>6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